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8DE5C" w14:textId="77777777" w:rsidR="006C62EE" w:rsidRDefault="00000000">
      <w:pPr>
        <w:widowControl w:val="0"/>
        <w:spacing w:after="0" w:line="240" w:lineRule="auto"/>
        <w:jc w:val="center"/>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b/>
          <w:bCs/>
          <w:color w:val="000000"/>
          <w:kern w:val="0"/>
          <w:sz w:val="24"/>
          <w:szCs w:val="24"/>
          <w:lang w:eastAsia="zh-CN"/>
          <w14:ligatures w14:val="none"/>
        </w:rPr>
        <w:t xml:space="preserve">INDICAZIONI CHE I DELEGATI DEVONO OSSERVARE </w:t>
      </w:r>
    </w:p>
    <w:p w14:paraId="0FB73E1A" w14:textId="77777777" w:rsidR="006C62EE" w:rsidRDefault="00000000">
      <w:pPr>
        <w:widowControl w:val="0"/>
        <w:spacing w:after="0" w:line="240" w:lineRule="auto"/>
        <w:jc w:val="center"/>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b/>
          <w:bCs/>
          <w:color w:val="000000"/>
          <w:kern w:val="0"/>
          <w:sz w:val="24"/>
          <w:szCs w:val="24"/>
          <w:lang w:eastAsia="zh-CN"/>
          <w14:ligatures w14:val="none"/>
        </w:rPr>
        <w:t>NELLA REDAZIONE E NEL DEPOSITO</w:t>
      </w:r>
    </w:p>
    <w:p w14:paraId="03D61449" w14:textId="77777777" w:rsidR="006C62EE" w:rsidRDefault="00000000">
      <w:pPr>
        <w:widowControl w:val="0"/>
        <w:spacing w:after="0" w:line="240" w:lineRule="auto"/>
        <w:jc w:val="center"/>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b/>
          <w:bCs/>
          <w:color w:val="000000"/>
          <w:kern w:val="0"/>
          <w:sz w:val="24"/>
          <w:szCs w:val="24"/>
          <w:lang w:eastAsia="zh-CN"/>
          <w14:ligatures w14:val="none"/>
        </w:rPr>
        <w:t>DELLA MINUTA DEL DECRETO DI TRASFERIMENTO</w:t>
      </w:r>
    </w:p>
    <w:p w14:paraId="46D4E7C5" w14:textId="77777777" w:rsidR="006C62EE" w:rsidRDefault="006C62EE">
      <w:pPr>
        <w:widowControl w:val="0"/>
        <w:spacing w:after="0" w:line="240" w:lineRule="auto"/>
        <w:jc w:val="both"/>
        <w:rPr>
          <w:rFonts w:ascii="Times New Roman" w:eastAsia="Times New Roman" w:hAnsi="Times New Roman" w:cs="Times New Roman"/>
          <w:color w:val="000000"/>
          <w:kern w:val="0"/>
          <w:sz w:val="24"/>
          <w:szCs w:val="24"/>
          <w:lang w:eastAsia="zh-CN"/>
          <w14:ligatures w14:val="none"/>
        </w:rPr>
      </w:pPr>
    </w:p>
    <w:p w14:paraId="70CC53B2"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I professionisti delegati sono tenuti a redigere la minuta del decreto di trasferimento secondo il modello pubblicato sul sito del Tribunale.</w:t>
      </w:r>
    </w:p>
    <w:p w14:paraId="69B3B96A" w14:textId="77777777" w:rsidR="006C62EE" w:rsidRDefault="00000000">
      <w:pPr>
        <w:widowControl w:val="0"/>
        <w:spacing w:after="113" w:line="240" w:lineRule="auto"/>
        <w:jc w:val="both"/>
        <w:rPr>
          <w:rFonts w:ascii="Times New Roman" w:eastAsia="Times New Roman" w:hAnsi="Times New Roman" w:cs="Times New Roman"/>
          <w:color w:val="000000"/>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Nell’ipotesi di più lotti aggiudicati in un unico esperimento di vendita al/i medesimo/i soggetto/i il decreto di trasferimento deve essere unico.</w:t>
      </w:r>
    </w:p>
    <w:p w14:paraId="2EDD0B20"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Quanto alla sezione “gravami”, considerato che i dati necessari da indicare sono la data della formalità e i numeri di registro generale/particolare, è facoltà del delegato inserire nel decreto di trasferimento anche i dati aggiuntivi (soggetti a favore e contro, con i relativi codici fiscali), comunque già presenti nel modello.</w:t>
      </w:r>
    </w:p>
    <w:p w14:paraId="71008883"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Il modello non va modificato se non per adattarlo alla specificità del singolo caso.</w:t>
      </w:r>
    </w:p>
    <w:p w14:paraId="3C820B24"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Le minute non sono da redigere su fogli tipo uso bollo, onde evitare sia che le scritte non coincidano con le righe dell'uso bollo e vi sia sovrapposizione (come troppo spesso è accaduto finora), sia che la formattazione dell’uso bollo interferisca con quella del modello predisposto dall’Ufficio.</w:t>
      </w:r>
    </w:p>
    <w:p w14:paraId="63F2402A"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Non vanno lasciate righe vuote; ove sia necessario introdurre uno spazio per meglio separare gli argomenti trattati, andrà utilizzato un segno grafico per riempire la riga lasciata vuota (ad esempio: ***).</w:t>
      </w:r>
    </w:p>
    <w:p w14:paraId="5F946E29"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 xml:space="preserve">I delegati devono astenersi dal modificare la struttura, la formattazione, l’interlinea e i caratteri del modello. In particolare, devono evitare di incollare nella minuta parti copiate dall’avviso di vendita o dal verbale di aggiudicazione, perché altrimenti vengono modificati sia lo stile, sia la sequenza dei dati contenuti nel modello di DT predisposto dall’Ufficio. In sostanza, i dati vanno inseriti </w:t>
      </w:r>
      <w:r>
        <w:rPr>
          <w:rFonts w:ascii="Times New Roman" w:eastAsia="Times New Roman" w:hAnsi="Times New Roman" w:cs="Times New Roman"/>
          <w:i/>
          <w:iCs/>
          <w:color w:val="000000"/>
          <w:kern w:val="0"/>
          <w:sz w:val="24"/>
          <w:szCs w:val="24"/>
          <w:lang w:eastAsia="zh-CN"/>
          <w14:ligatures w14:val="none"/>
        </w:rPr>
        <w:t>ex novo</w:t>
      </w:r>
      <w:r>
        <w:rPr>
          <w:rFonts w:ascii="Times New Roman" w:eastAsia="Times New Roman" w:hAnsi="Times New Roman" w:cs="Times New Roman"/>
          <w:color w:val="000000"/>
          <w:kern w:val="0"/>
          <w:sz w:val="24"/>
          <w:szCs w:val="24"/>
          <w:lang w:eastAsia="zh-CN"/>
          <w14:ligatures w14:val="none"/>
        </w:rPr>
        <w:t>.</w:t>
      </w:r>
    </w:p>
    <w:p w14:paraId="5C53121B"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Nella scrittura occorre osservare le regole dattilografiche; ad esempio, dopo il punto (che sia per interpunzione o abbreviazione) va messo uno spazio prima del carattere successivo.</w:t>
      </w:r>
    </w:p>
    <w:p w14:paraId="79EA6F45"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 xml:space="preserve">I dati che ricorrono più volte nel testo devono essere sempre riportati nello stesso modo; ad esempio: </w:t>
      </w:r>
    </w:p>
    <w:p w14:paraId="31BBA5A0" w14:textId="77777777" w:rsidR="006C62EE" w:rsidRDefault="00000000">
      <w:pPr>
        <w:widowControl w:val="0"/>
        <w:numPr>
          <w:ilvl w:val="0"/>
          <w:numId w:val="1"/>
        </w:numPr>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il codice fiscale va scritto sempre con l’abbreviazione o sempre per esteso; l’abbreviazione, deve essere sempre maiuscola o sempre minuscola, non un po’ in un modo e un po’ in un altro;</w:t>
      </w:r>
    </w:p>
    <w:p w14:paraId="06CDB2D6" w14:textId="77777777" w:rsidR="006C62EE" w:rsidRDefault="00000000">
      <w:pPr>
        <w:widowControl w:val="0"/>
        <w:numPr>
          <w:ilvl w:val="0"/>
          <w:numId w:val="1"/>
        </w:numPr>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le persone fisiche vanno sempre indicate riportando prima il cognome e poi il nome, anche per avere corrispondenza con il codice fiscale;</w:t>
      </w:r>
    </w:p>
    <w:p w14:paraId="1C5268B4" w14:textId="77777777" w:rsidR="006C62EE" w:rsidRDefault="00000000">
      <w:pPr>
        <w:widowControl w:val="0"/>
        <w:numPr>
          <w:ilvl w:val="0"/>
          <w:numId w:val="1"/>
        </w:numPr>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in caso di soggetti stranieri, è opportuno dopo il cognome scrivere (cognome) e dopo il nome scrivere (nome).</w:t>
      </w:r>
    </w:p>
    <w:p w14:paraId="20877445"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Quando gli importi dei prezzi sono scritti in lettere, può capitare che la parola sia molto lunga e quindi che il testo sia mandato a capo, creando un effetto disomogeneo, come nell’esempio che segue:</w:t>
      </w:r>
    </w:p>
    <w:p w14:paraId="07843B5C"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Bookman Old Style" w:eastAsia="Times New Roman" w:hAnsi="Bookman Old Style" w:cs="Bookman Old Style"/>
          <w:color w:val="000000"/>
          <w:kern w:val="0"/>
          <w:sz w:val="24"/>
          <w:szCs w:val="24"/>
          <w:lang w:eastAsia="zh-CN"/>
          <w14:ligatures w14:val="none"/>
        </w:rPr>
        <w:t xml:space="preserve">“In sede di vendita senza incanto in data ... gli immobili pignorati - in appresso descritti - venivano aggiudicati a </w:t>
      </w:r>
      <w:r>
        <w:rPr>
          <w:rFonts w:ascii="Bookman Old Style" w:eastAsia="Times New Roman" w:hAnsi="Bookman Old Style" w:cs="Bookman Old Style"/>
          <w:b/>
          <w:bCs/>
          <w:color w:val="000000"/>
          <w:kern w:val="0"/>
          <w:sz w:val="24"/>
          <w:szCs w:val="24"/>
          <w:lang w:eastAsia="zh-CN"/>
          <w14:ligatures w14:val="none"/>
        </w:rPr>
        <w:t>...</w:t>
      </w:r>
      <w:r>
        <w:rPr>
          <w:rFonts w:ascii="Bookman Old Style" w:eastAsia="Times New Roman" w:hAnsi="Bookman Old Style" w:cs="Bookman Old Style"/>
          <w:color w:val="000000"/>
          <w:kern w:val="0"/>
          <w:sz w:val="24"/>
          <w:szCs w:val="24"/>
          <w:lang w:eastAsia="zh-CN"/>
          <w14:ligatures w14:val="none"/>
        </w:rPr>
        <w:t xml:space="preserve">, nato a ... il ... e residente in ... via ..., C.F. ..., stato civile ... [oppure, in caso di società: con sede legale in ... via ..., C.F. ...] al prezzo di </w:t>
      </w:r>
      <w:r>
        <w:rPr>
          <w:rFonts w:ascii="Bookman Old Style" w:eastAsia="Times New Roman" w:hAnsi="Bookman Old Style" w:cs="Bookman Old Style"/>
          <w:b/>
          <w:bCs/>
          <w:color w:val="000000"/>
          <w:kern w:val="0"/>
          <w:sz w:val="24"/>
          <w:szCs w:val="24"/>
          <w:lang w:eastAsia="zh-CN"/>
          <w14:ligatures w14:val="none"/>
        </w:rPr>
        <w:t>euro 357.979,00</w:t>
      </w:r>
      <w:r>
        <w:rPr>
          <w:rFonts w:ascii="Bookman Old Style" w:eastAsia="Times New Roman" w:hAnsi="Bookman Old Style" w:cs="Bookman Old Style"/>
          <w:b/>
          <w:color w:val="000000"/>
          <w:kern w:val="0"/>
          <w:sz w:val="24"/>
          <w:szCs w:val="24"/>
          <w:lang w:eastAsia="zh-CN"/>
          <w14:ligatures w14:val="none"/>
        </w:rPr>
        <w:t xml:space="preserve"> </w:t>
      </w:r>
      <w:r>
        <w:rPr>
          <w:rFonts w:ascii="Bookman Old Style" w:eastAsia="Times New Roman" w:hAnsi="Bookman Old Style" w:cs="Bookman Old Style"/>
          <w:color w:val="000000"/>
          <w:kern w:val="0"/>
          <w:sz w:val="24"/>
          <w:szCs w:val="24"/>
          <w:lang w:eastAsia="zh-CN"/>
          <w14:ligatures w14:val="none"/>
        </w:rPr>
        <w:t xml:space="preserve">(euro </w:t>
      </w:r>
      <w:proofErr w:type="spellStart"/>
      <w:r>
        <w:rPr>
          <w:rFonts w:ascii="Bookman Old Style" w:eastAsia="Times New Roman" w:hAnsi="Bookman Old Style" w:cs="Bookman Old Style"/>
          <w:color w:val="000000"/>
          <w:kern w:val="0"/>
          <w:sz w:val="24"/>
          <w:szCs w:val="24"/>
          <w:lang w:eastAsia="zh-CN"/>
          <w14:ligatures w14:val="none"/>
        </w:rPr>
        <w:t>trecentocinquantasettemilanovecentosettantanove</w:t>
      </w:r>
      <w:proofErr w:type="spellEnd"/>
      <w:r>
        <w:rPr>
          <w:rFonts w:ascii="Bookman Old Style" w:eastAsia="Times New Roman" w:hAnsi="Bookman Old Style" w:cs="Bookman Old Style"/>
          <w:color w:val="000000"/>
          <w:kern w:val="0"/>
          <w:sz w:val="24"/>
          <w:szCs w:val="24"/>
          <w:lang w:eastAsia="zh-CN"/>
          <w14:ligatures w14:val="none"/>
        </w:rPr>
        <w:t>/00)”</w:t>
      </w:r>
    </w:p>
    <w:p w14:paraId="76E5E60D"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In simili casi, basta inserire (per tentativi) un trattino nel punto più adatto della parola, che quindi si spezzerà e andrà a capo in modo fisiologico, come segue:</w:t>
      </w:r>
    </w:p>
    <w:p w14:paraId="6CB77250"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Bookman Old Style" w:eastAsia="Times New Roman" w:hAnsi="Bookman Old Style" w:cs="Bookman Old Style"/>
          <w:color w:val="000000"/>
          <w:kern w:val="0"/>
          <w:sz w:val="24"/>
          <w:szCs w:val="24"/>
          <w:lang w:eastAsia="zh-CN"/>
          <w14:ligatures w14:val="none"/>
        </w:rPr>
        <w:t xml:space="preserve">“In sede di vendita senza incanto in data ... gli immobili pignorati - in appresso descritti - venivano aggiudicati a </w:t>
      </w:r>
      <w:r>
        <w:rPr>
          <w:rFonts w:ascii="Bookman Old Style" w:eastAsia="Times New Roman" w:hAnsi="Bookman Old Style" w:cs="Bookman Old Style"/>
          <w:b/>
          <w:bCs/>
          <w:color w:val="000000"/>
          <w:kern w:val="0"/>
          <w:sz w:val="24"/>
          <w:szCs w:val="24"/>
          <w:lang w:eastAsia="zh-CN"/>
          <w14:ligatures w14:val="none"/>
        </w:rPr>
        <w:t>...</w:t>
      </w:r>
      <w:r>
        <w:rPr>
          <w:rFonts w:ascii="Bookman Old Style" w:eastAsia="Times New Roman" w:hAnsi="Bookman Old Style" w:cs="Bookman Old Style"/>
          <w:color w:val="000000"/>
          <w:kern w:val="0"/>
          <w:sz w:val="24"/>
          <w:szCs w:val="24"/>
          <w:lang w:eastAsia="zh-CN"/>
          <w14:ligatures w14:val="none"/>
        </w:rPr>
        <w:t xml:space="preserve">, nato a ... il ... e residente in ... via ..., C.F. ..., stato civile ... [oppure, in caso di società: con sede legale in ... via ..., C.F. ...] al prezzo di </w:t>
      </w:r>
      <w:r>
        <w:rPr>
          <w:rFonts w:ascii="Bookman Old Style" w:eastAsia="Times New Roman" w:hAnsi="Bookman Old Style" w:cs="Bookman Old Style"/>
          <w:b/>
          <w:bCs/>
          <w:color w:val="000000"/>
          <w:kern w:val="0"/>
          <w:sz w:val="24"/>
          <w:szCs w:val="24"/>
          <w:lang w:eastAsia="zh-CN"/>
          <w14:ligatures w14:val="none"/>
        </w:rPr>
        <w:t>euro 357.979,00</w:t>
      </w:r>
      <w:r>
        <w:rPr>
          <w:rFonts w:ascii="Bookman Old Style" w:eastAsia="Times New Roman" w:hAnsi="Bookman Old Style" w:cs="Bookman Old Style"/>
          <w:b/>
          <w:color w:val="000000"/>
          <w:kern w:val="0"/>
          <w:sz w:val="24"/>
          <w:szCs w:val="24"/>
          <w:lang w:eastAsia="zh-CN"/>
          <w14:ligatures w14:val="none"/>
        </w:rPr>
        <w:t xml:space="preserve"> </w:t>
      </w:r>
      <w:r>
        <w:rPr>
          <w:rFonts w:ascii="Bookman Old Style" w:eastAsia="Times New Roman" w:hAnsi="Bookman Old Style" w:cs="Bookman Old Style"/>
          <w:color w:val="000000"/>
          <w:kern w:val="0"/>
          <w:sz w:val="24"/>
          <w:szCs w:val="24"/>
          <w:lang w:eastAsia="zh-CN"/>
          <w14:ligatures w14:val="none"/>
        </w:rPr>
        <w:t xml:space="preserve">(euro </w:t>
      </w:r>
      <w:proofErr w:type="spellStart"/>
      <w:r>
        <w:rPr>
          <w:rFonts w:ascii="Bookman Old Style" w:eastAsia="Times New Roman" w:hAnsi="Bookman Old Style" w:cs="Bookman Old Style"/>
          <w:color w:val="000000"/>
          <w:kern w:val="0"/>
          <w:sz w:val="24"/>
          <w:szCs w:val="24"/>
          <w:lang w:eastAsia="zh-CN"/>
          <w14:ligatures w14:val="none"/>
        </w:rPr>
        <w:t>trecentocinquantasettemilanovecentosettanta</w:t>
      </w:r>
      <w:proofErr w:type="spellEnd"/>
      <w:r>
        <w:rPr>
          <w:rFonts w:ascii="Bookman Old Style" w:eastAsia="Times New Roman" w:hAnsi="Bookman Old Style" w:cs="Bookman Old Style"/>
          <w:color w:val="000000"/>
          <w:kern w:val="0"/>
          <w:sz w:val="24"/>
          <w:szCs w:val="24"/>
          <w:lang w:eastAsia="zh-CN"/>
          <w14:ligatures w14:val="none"/>
        </w:rPr>
        <w:t>-</w:t>
      </w:r>
      <w:r>
        <w:rPr>
          <w:rFonts w:ascii="Bookman Old Style" w:eastAsia="Times New Roman" w:hAnsi="Bookman Old Style" w:cs="Bookman Old Style"/>
          <w:color w:val="000000"/>
          <w:kern w:val="0"/>
          <w:sz w:val="24"/>
          <w:szCs w:val="24"/>
          <w:lang w:eastAsia="zh-CN"/>
          <w14:ligatures w14:val="none"/>
        </w:rPr>
        <w:lastRenderedPageBreak/>
        <w:t>nove/00)”</w:t>
      </w:r>
    </w:p>
    <w:p w14:paraId="54A94EFD"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Ogni pagina deve avere lo stesso numero di righe scritte; il modello è già predisposto in modo da escludere che, per effetto del controllo delle righe isolate, l’intero paragrafo che inizia in una pagina sia spostato tutto nella successiva, creando così uno spazio vuoto; se, per una qualunque ragione, tale impostazione dovesse essere stata annullata, occorre selezionare tutto il documento e dal programma aprire “paragrafo”, scegliere la scheda “distribuzione testo” e deselezionare tutte le opzioni attive presenti alla voce “impaginazione”, cliccando poi su “ok”.</w:t>
      </w:r>
    </w:p>
    <w:p w14:paraId="7E481759"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In generale, il testo deve essere corretto dal punto di vista grammaticale. Bisogna preferire un’esposizione sintetica (ma completa), evitare espressioni ridondanti e superflue. In particolare, nella descrizione dei beni non si può riportare tutto quanto scritto dal perito (che oltretutto spesso riveste una forma non consona); bisogna riassumere i dati salienti (se del caso rielaborando il testo) ed evitare di scrivere le finiture degli immobili o descrivere le irregolarità catastali e gli abusi edilizi.</w:t>
      </w:r>
    </w:p>
    <w:p w14:paraId="2EB4B090" w14:textId="77777777" w:rsidR="006C62EE" w:rsidRDefault="00000000">
      <w:pPr>
        <w:widowControl w:val="0"/>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Alla busta di deposito devono essere allegati:</w:t>
      </w:r>
    </w:p>
    <w:p w14:paraId="64E64845" w14:textId="77777777" w:rsidR="006C62EE" w:rsidRDefault="00000000">
      <w:pPr>
        <w:widowControl w:val="0"/>
        <w:numPr>
          <w:ilvl w:val="0"/>
          <w:numId w:val="2"/>
        </w:numPr>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la minuta del DT in formato sia pdf, sia rtf o doc o docx</w:t>
      </w:r>
    </w:p>
    <w:p w14:paraId="716F759A" w14:textId="77777777" w:rsidR="006C62EE" w:rsidRDefault="00000000">
      <w:pPr>
        <w:widowControl w:val="0"/>
        <w:numPr>
          <w:ilvl w:val="0"/>
          <w:numId w:val="2"/>
        </w:numPr>
        <w:spacing w:after="113" w:line="240" w:lineRule="auto"/>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i necessari documenti (anche se già precedentemente depositati) nell’ordine preciso col quale vanno esaminati in base al testo del DT, con numerazione cronologica preceduta da zero (per i numeri da 1 a 9) in modo che il giudice li veda in quell’esatta sequenza e breve descrizione:</w:t>
      </w:r>
    </w:p>
    <w:p w14:paraId="5BFF7C6B"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00- avviso di vendita;</w:t>
      </w:r>
    </w:p>
    <w:p w14:paraId="73550F3A"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01- verbale aggiudicazione;</w:t>
      </w:r>
    </w:p>
    <w:p w14:paraId="213615AA"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02- C.I. e C.F. aggiudicatario persona fisica o visura camerale (le buste di tutti gli offerenti, compreso l’aggiudicatario, dovranno essere invece depositate precedentemente, insieme al verbale di aggiudicazione);</w:t>
      </w:r>
    </w:p>
    <w:p w14:paraId="32E9DC52"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03- verbale col quale il delegato riceve la dichiarazione ex art. 179 c.c. (in caso di esclusione del bene dalla comunione);</w:t>
      </w:r>
    </w:p>
    <w:p w14:paraId="50B60D28"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04- cauzione;</w:t>
      </w:r>
    </w:p>
    <w:p w14:paraId="7323896D"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05- parte saldo prezzo ex art. 41 T.U.B. (eventuale);</w:t>
      </w:r>
    </w:p>
    <w:p w14:paraId="355C08E5"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06- quietanza (o, in caso di eccessivi ritardi nel suo rilascio da parte del creditore fondiario, copia dell’estratto conto dell’aggiudicatario, da cui emerga il materiale addebito in conto dell’uscita di cassa dovuta al saldo);</w:t>
      </w:r>
    </w:p>
    <w:p w14:paraId="26CDFB0E"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07- saldo prezzo o residuo saldo prezzo alla procedura;</w:t>
      </w:r>
    </w:p>
    <w:p w14:paraId="472514F6"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 xml:space="preserve">08- </w:t>
      </w:r>
      <w:proofErr w:type="spellStart"/>
      <w:r>
        <w:rPr>
          <w:rFonts w:ascii="Times New Roman" w:eastAsia="Times New Roman" w:hAnsi="Times New Roman" w:cs="Times New Roman"/>
          <w:color w:val="000000"/>
          <w:kern w:val="0"/>
          <w:sz w:val="24"/>
          <w:szCs w:val="24"/>
          <w:lang w:eastAsia="zh-CN"/>
          <w14:ligatures w14:val="none"/>
        </w:rPr>
        <w:t>i.v.a</w:t>
      </w:r>
      <w:proofErr w:type="spellEnd"/>
      <w:r>
        <w:rPr>
          <w:rFonts w:ascii="Times New Roman" w:eastAsia="Times New Roman" w:hAnsi="Times New Roman" w:cs="Times New Roman"/>
          <w:color w:val="000000"/>
          <w:kern w:val="0"/>
          <w:sz w:val="24"/>
          <w:szCs w:val="24"/>
          <w:lang w:eastAsia="zh-CN"/>
          <w14:ligatures w14:val="none"/>
        </w:rPr>
        <w:t>. (eventuale);</w:t>
      </w:r>
    </w:p>
    <w:p w14:paraId="74A20924"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09- spese trasferimento;</w:t>
      </w:r>
    </w:p>
    <w:p w14:paraId="074599E0"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10- dichiarazione antiriciclaggio;</w:t>
      </w:r>
    </w:p>
    <w:p w14:paraId="142CDA27"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11- visura catastale aggiornata al momento del deposito della bozza;</w:t>
      </w:r>
    </w:p>
    <w:p w14:paraId="17B9D15A" w14:textId="77777777" w:rsidR="006C62EE" w:rsidRDefault="00000000">
      <w:pPr>
        <w:widowControl w:val="0"/>
        <w:spacing w:after="0"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12- A.P.E. (nel caso di immobili assoggettati);</w:t>
      </w:r>
    </w:p>
    <w:p w14:paraId="4EA1329A" w14:textId="77777777" w:rsidR="006C62EE" w:rsidRDefault="00000000">
      <w:pPr>
        <w:widowControl w:val="0"/>
        <w:spacing w:after="0" w:line="240" w:lineRule="auto"/>
        <w:ind w:left="284"/>
        <w:jc w:val="both"/>
        <w:rPr>
          <w:rFonts w:ascii="Times New Roman" w:eastAsia="Times New Roman" w:hAnsi="Times New Roman" w:cs="Times New Roman"/>
          <w:color w:val="000000"/>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 xml:space="preserve">13- elenco sintetico delle formalità gravanti sull’immobile (estratto, ai fini ispettivi, dall’Agenzia delle Entrate) con ricerca “per dati catastali dell’immobile”, avendo cura di estrarlo con riguardo ai dati catastali dell’immobile </w:t>
      </w:r>
      <w:proofErr w:type="spellStart"/>
      <w:r>
        <w:rPr>
          <w:rFonts w:ascii="Times New Roman" w:eastAsia="Times New Roman" w:hAnsi="Times New Roman" w:cs="Times New Roman"/>
          <w:i/>
          <w:iCs/>
          <w:color w:val="000000"/>
          <w:kern w:val="0"/>
          <w:sz w:val="24"/>
          <w:szCs w:val="24"/>
          <w:lang w:eastAsia="zh-CN"/>
          <w14:ligatures w14:val="none"/>
        </w:rPr>
        <w:t>pre</w:t>
      </w:r>
      <w:proofErr w:type="spellEnd"/>
      <w:r>
        <w:rPr>
          <w:rFonts w:ascii="Times New Roman" w:eastAsia="Times New Roman" w:hAnsi="Times New Roman" w:cs="Times New Roman"/>
          <w:i/>
          <w:iCs/>
          <w:color w:val="000000"/>
          <w:kern w:val="0"/>
          <w:sz w:val="24"/>
          <w:szCs w:val="24"/>
          <w:lang w:eastAsia="zh-CN"/>
          <w14:ligatures w14:val="none"/>
        </w:rPr>
        <w:t xml:space="preserve"> </w:t>
      </w:r>
      <w:r>
        <w:rPr>
          <w:rFonts w:ascii="Times New Roman" w:eastAsia="Times New Roman" w:hAnsi="Times New Roman" w:cs="Times New Roman"/>
          <w:color w:val="000000"/>
          <w:kern w:val="0"/>
          <w:sz w:val="24"/>
          <w:szCs w:val="24"/>
          <w:lang w:eastAsia="zh-CN"/>
          <w14:ligatures w14:val="none"/>
        </w:rPr>
        <w:t xml:space="preserve">e </w:t>
      </w:r>
      <w:r>
        <w:rPr>
          <w:rFonts w:ascii="Times New Roman" w:eastAsia="Times New Roman" w:hAnsi="Times New Roman" w:cs="Times New Roman"/>
          <w:i/>
          <w:iCs/>
          <w:color w:val="000000"/>
          <w:kern w:val="0"/>
          <w:sz w:val="24"/>
          <w:szCs w:val="24"/>
          <w:lang w:eastAsia="zh-CN"/>
          <w14:ligatures w14:val="none"/>
        </w:rPr>
        <w:t xml:space="preserve">post </w:t>
      </w:r>
      <w:r>
        <w:rPr>
          <w:rFonts w:ascii="Times New Roman" w:eastAsia="Times New Roman" w:hAnsi="Times New Roman" w:cs="Times New Roman"/>
          <w:color w:val="000000"/>
          <w:kern w:val="0"/>
          <w:sz w:val="24"/>
          <w:szCs w:val="24"/>
          <w:lang w:eastAsia="zh-CN"/>
          <w14:ligatures w14:val="none"/>
        </w:rPr>
        <w:t>pratiche catastali eventualmente curate dal perito estimatore), il tutto aggiornato al momento del deposito della bozza; con obbligo di verifiche più approfondite in caso di discrepanze / dubbi;</w:t>
      </w:r>
    </w:p>
    <w:p w14:paraId="191F0DAC" w14:textId="77777777" w:rsidR="006C62EE" w:rsidRDefault="00000000">
      <w:pPr>
        <w:widowControl w:val="0"/>
        <w:spacing w:after="113" w:line="240" w:lineRule="auto"/>
        <w:ind w:left="283"/>
        <w:jc w:val="both"/>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color w:val="000000"/>
          <w:kern w:val="0"/>
          <w:sz w:val="24"/>
          <w:szCs w:val="24"/>
          <w:lang w:eastAsia="zh-CN"/>
          <w14:ligatures w14:val="none"/>
        </w:rPr>
        <w:t>14- note di iscrizione/trascrizione dei gravami da cancellare (unicamente nel caso in cui il delegato optasse per l’indicazione nel decreto di trasferimento dei dati aggiuntivi sui soggetti a favore e contro).</w:t>
      </w:r>
    </w:p>
    <w:sectPr w:rsidR="006C62EE">
      <w:footerReference w:type="default" r:id="rId7"/>
      <w:pgSz w:w="11906" w:h="16838"/>
      <w:pgMar w:top="1418" w:right="1134" w:bottom="1134" w:left="1134" w:header="0"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5976F" w14:textId="77777777" w:rsidR="00A11ED4" w:rsidRDefault="00A11ED4">
      <w:pPr>
        <w:spacing w:after="0" w:line="240" w:lineRule="auto"/>
      </w:pPr>
      <w:r>
        <w:separator/>
      </w:r>
    </w:p>
  </w:endnote>
  <w:endnote w:type="continuationSeparator" w:id="0">
    <w:p w14:paraId="5CE9F830" w14:textId="77777777" w:rsidR="00A11ED4" w:rsidRDefault="00A11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1"/>
    <w:family w:val="auto"/>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6D225" w14:textId="77777777" w:rsidR="006C62EE" w:rsidRDefault="00000000">
    <w:pPr>
      <w:pStyle w:val="Pidipagina"/>
      <w:jc w:val="center"/>
    </w:pPr>
    <w:r>
      <w:fldChar w:fldCharType="begin"/>
    </w:r>
    <w:r>
      <w:instrText>PAGE</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E31781" w14:textId="77777777" w:rsidR="00A11ED4" w:rsidRDefault="00A11ED4">
      <w:pPr>
        <w:spacing w:after="0" w:line="240" w:lineRule="auto"/>
      </w:pPr>
      <w:r>
        <w:separator/>
      </w:r>
    </w:p>
  </w:footnote>
  <w:footnote w:type="continuationSeparator" w:id="0">
    <w:p w14:paraId="69CF5D40" w14:textId="77777777" w:rsidR="00A11ED4" w:rsidRDefault="00A11E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7F0CB2"/>
    <w:multiLevelType w:val="multilevel"/>
    <w:tmpl w:val="6E44A64E"/>
    <w:lvl w:ilvl="0">
      <w:start w:val="1"/>
      <w:numFmt w:val="bullet"/>
      <w:lvlText w:val=""/>
      <w:lvlJc w:val="left"/>
      <w:pPr>
        <w:tabs>
          <w:tab w:val="num" w:pos="283"/>
        </w:tabs>
        <w:ind w:left="283" w:hanging="283"/>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672E2D99"/>
    <w:multiLevelType w:val="multilevel"/>
    <w:tmpl w:val="E8C69C46"/>
    <w:lvl w:ilvl="0">
      <w:start w:val="1"/>
      <w:numFmt w:val="bullet"/>
      <w:lvlText w:val=""/>
      <w:lvlJc w:val="left"/>
      <w:pPr>
        <w:tabs>
          <w:tab w:val="num" w:pos="283"/>
        </w:tabs>
        <w:ind w:left="283" w:hanging="283"/>
      </w:pPr>
      <w:rPr>
        <w:rFonts w:ascii="Symbol" w:hAnsi="Symbol" w:cs="Symbol" w:hint="default"/>
        <w:color w:val="00000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color w:val="000000"/>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color w:val="000000"/>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68891DD6"/>
    <w:multiLevelType w:val="multilevel"/>
    <w:tmpl w:val="C4882A7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278491539">
    <w:abstractNumId w:val="0"/>
  </w:num>
  <w:num w:numId="2" w16cid:durableId="1462502367">
    <w:abstractNumId w:val="1"/>
  </w:num>
  <w:num w:numId="3" w16cid:durableId="15342210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2EE"/>
    <w:rsid w:val="006B0B95"/>
    <w:rsid w:val="006C62EE"/>
    <w:rsid w:val="00877767"/>
    <w:rsid w:val="00A11ED4"/>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A1D7F"/>
  <w15:docId w15:val="{CEEEC156-1930-4DC1-870D-7C436AE39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style>
  <w:style w:type="paragraph" w:styleId="Titolo1">
    <w:name w:val="heading 1"/>
    <w:basedOn w:val="Normale"/>
    <w:next w:val="Normale"/>
    <w:link w:val="Titolo1Carattere"/>
    <w:uiPriority w:val="9"/>
    <w:qFormat/>
    <w:rsid w:val="002278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278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27877"/>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27877"/>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27877"/>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27877"/>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27877"/>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27877"/>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27877"/>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qFormat/>
    <w:rsid w:val="0022787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qFormat/>
    <w:rsid w:val="0022787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qFormat/>
    <w:rsid w:val="00227877"/>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qFormat/>
    <w:rsid w:val="00227877"/>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qFormat/>
    <w:rsid w:val="00227877"/>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qFormat/>
    <w:rsid w:val="0022787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qFormat/>
    <w:rsid w:val="0022787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qFormat/>
    <w:rsid w:val="0022787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qFormat/>
    <w:rsid w:val="00227877"/>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qFormat/>
    <w:rsid w:val="00227877"/>
    <w:rPr>
      <w:rFonts w:asciiTheme="majorHAnsi" w:eastAsiaTheme="majorEastAsia" w:hAnsiTheme="majorHAnsi" w:cstheme="majorBidi"/>
      <w:spacing w:val="-10"/>
      <w:kern w:val="2"/>
      <w:sz w:val="56"/>
      <w:szCs w:val="56"/>
    </w:rPr>
  </w:style>
  <w:style w:type="character" w:customStyle="1" w:styleId="SottotitoloCarattere">
    <w:name w:val="Sottotitolo Carattere"/>
    <w:basedOn w:val="Carpredefinitoparagrafo"/>
    <w:link w:val="Sottotitolo"/>
    <w:uiPriority w:val="11"/>
    <w:qFormat/>
    <w:rsid w:val="00227877"/>
    <w:rPr>
      <w:rFonts w:eastAsiaTheme="majorEastAsia" w:cstheme="majorBidi"/>
      <w:color w:val="595959" w:themeColor="text1" w:themeTint="A6"/>
      <w:spacing w:val="15"/>
      <w:sz w:val="28"/>
      <w:szCs w:val="28"/>
    </w:rPr>
  </w:style>
  <w:style w:type="character" w:customStyle="1" w:styleId="CitazioneCarattere">
    <w:name w:val="Citazione Carattere"/>
    <w:basedOn w:val="Carpredefinitoparagrafo"/>
    <w:link w:val="Citazione"/>
    <w:uiPriority w:val="29"/>
    <w:qFormat/>
    <w:rsid w:val="00227877"/>
    <w:rPr>
      <w:i/>
      <w:iCs/>
      <w:color w:val="404040" w:themeColor="text1" w:themeTint="BF"/>
    </w:rPr>
  </w:style>
  <w:style w:type="character" w:styleId="Enfasiintensa">
    <w:name w:val="Intense Emphasis"/>
    <w:basedOn w:val="Carpredefinitoparagrafo"/>
    <w:uiPriority w:val="21"/>
    <w:qFormat/>
    <w:rsid w:val="00227877"/>
    <w:rPr>
      <w:i/>
      <w:iCs/>
      <w:color w:val="0F4761" w:themeColor="accent1" w:themeShade="BF"/>
    </w:rPr>
  </w:style>
  <w:style w:type="character" w:customStyle="1" w:styleId="CitazioneintensaCarattere">
    <w:name w:val="Citazione intensa Carattere"/>
    <w:basedOn w:val="Carpredefinitoparagrafo"/>
    <w:link w:val="Citazioneintensa"/>
    <w:uiPriority w:val="30"/>
    <w:qFormat/>
    <w:rsid w:val="00227877"/>
    <w:rPr>
      <w:i/>
      <w:iCs/>
      <w:color w:val="0F4761" w:themeColor="accent1" w:themeShade="BF"/>
    </w:rPr>
  </w:style>
  <w:style w:type="character" w:styleId="Riferimentointenso">
    <w:name w:val="Intense Reference"/>
    <w:basedOn w:val="Carpredefinitoparagrafo"/>
    <w:uiPriority w:val="32"/>
    <w:qFormat/>
    <w:rsid w:val="00227877"/>
    <w:rPr>
      <w:b/>
      <w:bCs/>
      <w:smallCaps/>
      <w:color w:val="0F4761" w:themeColor="accent1" w:themeShade="BF"/>
      <w:spacing w:val="5"/>
    </w:rPr>
  </w:style>
  <w:style w:type="character" w:customStyle="1" w:styleId="PidipaginaCarattere">
    <w:name w:val="Piè di pagina Carattere"/>
    <w:basedOn w:val="Carpredefinitoparagrafo"/>
    <w:link w:val="Pidipagina"/>
    <w:qFormat/>
    <w:rsid w:val="00227877"/>
    <w:rPr>
      <w:rFonts w:ascii="Times New Roman" w:eastAsia="Times New Roman" w:hAnsi="Times New Roman" w:cs="Times New Roman"/>
      <w:kern w:val="0"/>
      <w:sz w:val="24"/>
      <w:szCs w:val="24"/>
      <w:lang w:eastAsia="zh-CN"/>
      <w14:ligatures w14:val="none"/>
    </w:rPr>
  </w:style>
  <w:style w:type="paragraph" w:styleId="Titolo">
    <w:name w:val="Title"/>
    <w:basedOn w:val="Normale"/>
    <w:next w:val="Corpotesto"/>
    <w:link w:val="TitoloCarattere"/>
    <w:uiPriority w:val="10"/>
    <w:qFormat/>
    <w:rsid w:val="00227877"/>
    <w:pPr>
      <w:spacing w:after="80" w:line="240" w:lineRule="auto"/>
      <w:contextualSpacing/>
    </w:pPr>
    <w:rPr>
      <w:rFonts w:asciiTheme="majorHAnsi" w:eastAsiaTheme="majorEastAsia" w:hAnsiTheme="majorHAnsi" w:cstheme="majorBidi"/>
      <w:spacing w:val="-10"/>
      <w:sz w:val="56"/>
      <w:szCs w:val="56"/>
    </w:rPr>
  </w:style>
  <w:style w:type="paragraph" w:styleId="Corpotesto">
    <w:name w:val="Body Text"/>
    <w:basedOn w:val="Normale"/>
    <w:pPr>
      <w:spacing w:after="140" w:line="276" w:lineRule="auto"/>
    </w:p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Mangal"/>
      <w:i/>
      <w:iCs/>
      <w:sz w:val="24"/>
      <w:szCs w:val="24"/>
    </w:rPr>
  </w:style>
  <w:style w:type="paragraph" w:customStyle="1" w:styleId="Indice">
    <w:name w:val="Indice"/>
    <w:basedOn w:val="Normale"/>
    <w:qFormat/>
    <w:pPr>
      <w:suppressLineNumbers/>
    </w:pPr>
    <w:rPr>
      <w:rFonts w:cs="Mangal"/>
      <w:lang/>
    </w:rPr>
  </w:style>
  <w:style w:type="paragraph" w:styleId="Sottotitolo">
    <w:name w:val="Subtitle"/>
    <w:basedOn w:val="Normale"/>
    <w:next w:val="Normale"/>
    <w:link w:val="SottotitoloCarattere"/>
    <w:uiPriority w:val="11"/>
    <w:qFormat/>
    <w:rsid w:val="0022787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27877"/>
    <w:pPr>
      <w:spacing w:before="160"/>
      <w:jc w:val="center"/>
    </w:pPr>
    <w:rPr>
      <w:i/>
      <w:iCs/>
      <w:color w:val="404040" w:themeColor="text1" w:themeTint="BF"/>
    </w:rPr>
  </w:style>
  <w:style w:type="paragraph" w:styleId="Paragrafoelenco">
    <w:name w:val="List Paragraph"/>
    <w:basedOn w:val="Normale"/>
    <w:uiPriority w:val="34"/>
    <w:qFormat/>
    <w:rsid w:val="00227877"/>
    <w:pPr>
      <w:ind w:left="720"/>
      <w:contextualSpacing/>
    </w:pPr>
  </w:style>
  <w:style w:type="paragraph" w:styleId="Citazioneintensa">
    <w:name w:val="Intense Quote"/>
    <w:basedOn w:val="Normale"/>
    <w:next w:val="Normale"/>
    <w:link w:val="CitazioneintensaCarattere"/>
    <w:uiPriority w:val="30"/>
    <w:qFormat/>
    <w:rsid w:val="00227877"/>
    <w:pPr>
      <w:pBdr>
        <w:top w:val="single" w:sz="4" w:space="10" w:color="0F4761"/>
        <w:bottom w:val="single" w:sz="4" w:space="10" w:color="0F4761"/>
      </w:pBdr>
      <w:spacing w:before="360" w:after="360"/>
      <w:ind w:left="864" w:right="864"/>
      <w:jc w:val="center"/>
    </w:pPr>
    <w:rPr>
      <w:i/>
      <w:iCs/>
      <w:color w:val="0F4761" w:themeColor="accent1" w:themeShade="BF"/>
    </w:rPr>
  </w:style>
  <w:style w:type="paragraph" w:customStyle="1" w:styleId="Intestazioneepidipagina">
    <w:name w:val="Intestazione e piè di pagina"/>
    <w:basedOn w:val="Normale"/>
    <w:qFormat/>
  </w:style>
  <w:style w:type="paragraph" w:styleId="Pidipagina">
    <w:name w:val="footer"/>
    <w:basedOn w:val="Normale"/>
    <w:link w:val="PidipaginaCarattere"/>
    <w:rsid w:val="00227877"/>
    <w:pPr>
      <w:tabs>
        <w:tab w:val="center" w:pos="4819"/>
        <w:tab w:val="right" w:pos="9638"/>
      </w:tabs>
      <w:spacing w:after="0" w:line="240" w:lineRule="auto"/>
    </w:pPr>
    <w:rPr>
      <w:rFonts w:ascii="Times New Roman" w:eastAsia="Times New Roman" w:hAnsi="Times New Roman" w:cs="Times New Roman"/>
      <w:kern w:val="0"/>
      <w:sz w:val="24"/>
      <w:szCs w:val="24"/>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985</Words>
  <Characters>5620</Characters>
  <Application>Microsoft Office Word</Application>
  <DocSecurity>0</DocSecurity>
  <Lines>46</Lines>
  <Paragraphs>13</Paragraphs>
  <ScaleCrop>false</ScaleCrop>
  <Company>Ministero della Giustizia</Company>
  <LinksUpToDate>false</LinksUpToDate>
  <CharactersWithSpaces>6592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Nunzia Corini</dc:creator>
  <dc:description/>
  <cp:lastModifiedBy>Andrea Milesi</cp:lastModifiedBy>
  <cp:revision>2</cp:revision>
  <dcterms:created xsi:type="dcterms:W3CDTF">2025-12-09T11:53:00Z</dcterms:created>
  <dcterms:modified xsi:type="dcterms:W3CDTF">2025-12-09T11:53:00Z</dcterms:modified>
  <dc:language>it-IT</dc:language>
</cp:coreProperties>
</file>